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2" w:rsidRPr="00B87C95" w:rsidRDefault="00B87C95" w:rsidP="00C91FB3">
      <w:pPr>
        <w:ind w:firstLine="708"/>
        <w:jc w:val="center"/>
        <w:rPr>
          <w:rFonts w:asciiTheme="majorHAnsi" w:hAnsiTheme="majorHAnsi"/>
          <w:b/>
          <w:sz w:val="24"/>
          <w:szCs w:val="24"/>
        </w:rPr>
      </w:pPr>
      <w:r w:rsidRPr="00B87C95">
        <w:rPr>
          <w:rFonts w:asciiTheme="majorHAnsi" w:hAnsiTheme="majorHAnsi"/>
          <w:b/>
          <w:sz w:val="24"/>
          <w:szCs w:val="24"/>
        </w:rPr>
        <w:t>UCHWAŁA NR ………………..</w:t>
      </w:r>
    </w:p>
    <w:p w:rsidR="00B87C95" w:rsidRDefault="00B87C95" w:rsidP="00B87C95">
      <w:pPr>
        <w:jc w:val="center"/>
        <w:rPr>
          <w:rFonts w:asciiTheme="majorHAnsi" w:hAnsiTheme="majorHAnsi"/>
          <w:b/>
          <w:sz w:val="24"/>
          <w:szCs w:val="24"/>
        </w:rPr>
      </w:pPr>
      <w:r w:rsidRPr="00B87C95">
        <w:rPr>
          <w:rFonts w:asciiTheme="majorHAnsi" w:hAnsiTheme="majorHAnsi"/>
          <w:b/>
          <w:sz w:val="24"/>
          <w:szCs w:val="24"/>
        </w:rPr>
        <w:t>RADY GMINY CISNA</w:t>
      </w:r>
    </w:p>
    <w:p w:rsidR="00B87C95" w:rsidRDefault="00B87C95" w:rsidP="00B87C9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 dnia … ……. ……</w:t>
      </w:r>
    </w:p>
    <w:p w:rsidR="00B87C95" w:rsidRDefault="00B87C95" w:rsidP="00B87C95">
      <w:pPr>
        <w:rPr>
          <w:rFonts w:asciiTheme="majorHAnsi" w:hAnsiTheme="majorHAnsi"/>
          <w:sz w:val="24"/>
          <w:szCs w:val="24"/>
        </w:rPr>
      </w:pPr>
    </w:p>
    <w:p w:rsidR="00B87C95" w:rsidRDefault="00B87C95" w:rsidP="00B87C95">
      <w:pPr>
        <w:rPr>
          <w:rFonts w:asciiTheme="majorHAnsi" w:hAnsiTheme="majorHAnsi"/>
          <w:b/>
          <w:sz w:val="24"/>
          <w:szCs w:val="24"/>
        </w:rPr>
      </w:pPr>
      <w:r w:rsidRPr="00B87C95">
        <w:rPr>
          <w:rFonts w:asciiTheme="majorHAnsi" w:hAnsiTheme="majorHAnsi"/>
          <w:b/>
          <w:sz w:val="24"/>
          <w:szCs w:val="24"/>
        </w:rPr>
        <w:t>w sprawie uchwalenia miejscowego planu zagospodarowania przestrzennego</w:t>
      </w:r>
      <w:r w:rsidR="00040A69">
        <w:rPr>
          <w:rFonts w:asciiTheme="majorHAnsi" w:hAnsiTheme="majorHAnsi"/>
          <w:b/>
          <w:sz w:val="24"/>
          <w:szCs w:val="24"/>
        </w:rPr>
        <w:t xml:space="preserve">, </w:t>
      </w:r>
      <w:r w:rsidR="00827B3E">
        <w:rPr>
          <w:rFonts w:asciiTheme="majorHAnsi" w:hAnsiTheme="majorHAnsi"/>
          <w:b/>
          <w:sz w:val="24"/>
          <w:szCs w:val="24"/>
        </w:rPr>
        <w:t xml:space="preserve">                </w:t>
      </w:r>
      <w:r w:rsidR="00040A69">
        <w:rPr>
          <w:rFonts w:asciiTheme="majorHAnsi" w:hAnsiTheme="majorHAnsi"/>
          <w:b/>
          <w:sz w:val="24"/>
          <w:szCs w:val="24"/>
        </w:rPr>
        <w:t>o nazwie</w:t>
      </w:r>
      <w:r w:rsidRPr="00B87C95">
        <w:rPr>
          <w:rFonts w:asciiTheme="majorHAnsi" w:hAnsiTheme="majorHAnsi"/>
          <w:b/>
          <w:sz w:val="24"/>
          <w:szCs w:val="24"/>
        </w:rPr>
        <w:t xml:space="preserve"> „Smerek 1/2016”</w:t>
      </w:r>
      <w:r w:rsidR="00040A69">
        <w:rPr>
          <w:rFonts w:asciiTheme="majorHAnsi" w:hAnsiTheme="majorHAnsi"/>
          <w:b/>
          <w:sz w:val="24"/>
          <w:szCs w:val="24"/>
        </w:rPr>
        <w:t>, terenu położonego w miejscowości Smerek, Gmina Cisna</w:t>
      </w:r>
    </w:p>
    <w:p w:rsidR="00B87C95" w:rsidRDefault="00B87C95" w:rsidP="0089650C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B87C95">
        <w:rPr>
          <w:rFonts w:asciiTheme="majorHAnsi" w:hAnsiTheme="majorHAnsi"/>
          <w:sz w:val="24"/>
          <w:szCs w:val="24"/>
        </w:rPr>
        <w:t>Na</w:t>
      </w:r>
      <w:r>
        <w:rPr>
          <w:rFonts w:asciiTheme="majorHAnsi" w:hAnsiTheme="majorHAnsi"/>
          <w:sz w:val="24"/>
          <w:szCs w:val="24"/>
        </w:rPr>
        <w:t xml:space="preserve"> podstawie art. 18 ust. 2 pkt 5 ustawy z dnia 8 marca 1990 r. o samorządzie gminny</w:t>
      </w:r>
      <w:r w:rsidR="0089650C">
        <w:rPr>
          <w:rFonts w:asciiTheme="majorHAnsi" w:hAnsiTheme="majorHAnsi"/>
          <w:sz w:val="24"/>
          <w:szCs w:val="24"/>
        </w:rPr>
        <w:t>m (</w:t>
      </w:r>
      <w:r w:rsidR="00C91FB3">
        <w:rPr>
          <w:rFonts w:asciiTheme="majorHAnsi" w:hAnsiTheme="majorHAnsi"/>
          <w:sz w:val="24"/>
          <w:szCs w:val="24"/>
        </w:rPr>
        <w:t xml:space="preserve"> j.t.</w:t>
      </w:r>
      <w:r w:rsidR="0089650C">
        <w:rPr>
          <w:rFonts w:asciiTheme="majorHAnsi" w:hAnsiTheme="majorHAnsi"/>
          <w:sz w:val="24"/>
          <w:szCs w:val="24"/>
        </w:rPr>
        <w:t xml:space="preserve"> Dz. U. z 2016</w:t>
      </w:r>
      <w:r>
        <w:rPr>
          <w:rFonts w:asciiTheme="majorHAnsi" w:hAnsiTheme="majorHAnsi"/>
          <w:sz w:val="24"/>
          <w:szCs w:val="24"/>
        </w:rPr>
        <w:t xml:space="preserve"> r. poz. </w:t>
      </w:r>
      <w:r w:rsidR="0089650C">
        <w:rPr>
          <w:rFonts w:asciiTheme="majorHAnsi" w:hAnsiTheme="majorHAnsi"/>
          <w:sz w:val="24"/>
          <w:szCs w:val="24"/>
        </w:rPr>
        <w:t>446</w:t>
      </w:r>
      <w:r>
        <w:rPr>
          <w:rFonts w:asciiTheme="majorHAnsi" w:hAnsiTheme="majorHAnsi"/>
          <w:sz w:val="24"/>
          <w:szCs w:val="24"/>
        </w:rPr>
        <w:t xml:space="preserve">) oraz art. 20 ust. 1 ustawy z dnia </w:t>
      </w:r>
      <w:r w:rsidR="0089650C">
        <w:rPr>
          <w:rFonts w:asciiTheme="majorHAnsi" w:hAnsiTheme="majorHAnsi"/>
          <w:sz w:val="24"/>
          <w:szCs w:val="24"/>
        </w:rPr>
        <w:t xml:space="preserve">27 marca 2003 r. o planowaniu i zagospodarowaniu przestrzennym (tekst jednolity Dz. U. z 2016 </w:t>
      </w:r>
      <w:r w:rsidR="00C91FB3">
        <w:rPr>
          <w:rFonts w:asciiTheme="majorHAnsi" w:hAnsiTheme="majorHAnsi"/>
          <w:sz w:val="24"/>
          <w:szCs w:val="24"/>
        </w:rPr>
        <w:t xml:space="preserve">r. poz. 778 z </w:t>
      </w:r>
      <w:proofErr w:type="spellStart"/>
      <w:r w:rsidR="00C91FB3">
        <w:rPr>
          <w:rFonts w:asciiTheme="majorHAnsi" w:hAnsiTheme="majorHAnsi"/>
          <w:sz w:val="24"/>
          <w:szCs w:val="24"/>
        </w:rPr>
        <w:t>późn</w:t>
      </w:r>
      <w:proofErr w:type="spellEnd"/>
      <w:r w:rsidR="00C91FB3">
        <w:rPr>
          <w:rFonts w:asciiTheme="majorHAnsi" w:hAnsiTheme="majorHAnsi"/>
          <w:sz w:val="24"/>
          <w:szCs w:val="24"/>
        </w:rPr>
        <w:t>. zm.</w:t>
      </w:r>
      <w:r w:rsidR="0089650C">
        <w:rPr>
          <w:rFonts w:asciiTheme="majorHAnsi" w:hAnsiTheme="majorHAnsi"/>
          <w:sz w:val="24"/>
          <w:szCs w:val="24"/>
        </w:rPr>
        <w:t>)</w:t>
      </w:r>
      <w:r w:rsidR="00C91FB3">
        <w:rPr>
          <w:rFonts w:asciiTheme="majorHAnsi" w:hAnsiTheme="majorHAnsi"/>
          <w:sz w:val="24"/>
          <w:szCs w:val="24"/>
        </w:rPr>
        <w:t>,</w:t>
      </w:r>
      <w:r w:rsidR="0089650C">
        <w:rPr>
          <w:rFonts w:asciiTheme="majorHAnsi" w:hAnsiTheme="majorHAnsi"/>
          <w:sz w:val="24"/>
          <w:szCs w:val="24"/>
        </w:rPr>
        <w:t xml:space="preserve"> po stwierdzeniu, że plan nie narusza ustaleń Studium Uwarunkowań i Kierunków Zagospodarowania Przestrzennego Gminy Cisna uchwalonego Uchwałą Nr XXII/238/2001 z dnia 7 lutego 2001 r.</w:t>
      </w:r>
      <w:r w:rsidR="00827B3E">
        <w:rPr>
          <w:rFonts w:asciiTheme="majorHAnsi" w:hAnsiTheme="majorHAnsi"/>
          <w:sz w:val="24"/>
          <w:szCs w:val="24"/>
        </w:rPr>
        <w:t>,</w:t>
      </w:r>
      <w:r w:rsidR="00040A69">
        <w:rPr>
          <w:rFonts w:asciiTheme="majorHAnsi" w:hAnsiTheme="majorHAnsi"/>
          <w:sz w:val="24"/>
          <w:szCs w:val="24"/>
        </w:rPr>
        <w:t xml:space="preserve"> </w:t>
      </w:r>
      <w:r w:rsidR="00040A69" w:rsidRPr="00040A69">
        <w:rPr>
          <w:rFonts w:asciiTheme="majorHAnsi" w:hAnsiTheme="majorHAnsi"/>
          <w:b/>
          <w:sz w:val="24"/>
          <w:szCs w:val="24"/>
        </w:rPr>
        <w:t>Rada Gminy Cisna uchwala, co następuje:</w:t>
      </w:r>
    </w:p>
    <w:p w:rsidR="00040A69" w:rsidRDefault="00040A69" w:rsidP="00040A6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Rozdział 1.</w:t>
      </w:r>
    </w:p>
    <w:p w:rsidR="00040A69" w:rsidRDefault="00543E10" w:rsidP="00040A69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Przepisy </w:t>
      </w:r>
      <w:r w:rsidR="00040A69">
        <w:rPr>
          <w:rFonts w:asciiTheme="majorHAnsi" w:hAnsiTheme="majorHAnsi"/>
          <w:b/>
          <w:sz w:val="24"/>
          <w:szCs w:val="24"/>
        </w:rPr>
        <w:t xml:space="preserve"> ogólne</w:t>
      </w:r>
    </w:p>
    <w:p w:rsidR="00040A69" w:rsidRDefault="00040A69" w:rsidP="00A54B58">
      <w:pPr>
        <w:jc w:val="both"/>
        <w:rPr>
          <w:rFonts w:asciiTheme="majorHAnsi" w:hAnsiTheme="majorHAnsi"/>
          <w:sz w:val="24"/>
          <w:szCs w:val="24"/>
        </w:rPr>
      </w:pPr>
      <w:r w:rsidRPr="00040A69">
        <w:rPr>
          <w:rFonts w:asciiTheme="majorHAnsi" w:hAnsiTheme="majorHAnsi"/>
          <w:b/>
          <w:sz w:val="24"/>
          <w:szCs w:val="24"/>
        </w:rPr>
        <w:tab/>
      </w:r>
      <w:r w:rsidRPr="00040A69">
        <w:rPr>
          <w:rFonts w:asciiTheme="majorHAnsi" w:hAnsiTheme="majorHAnsi"/>
          <w:b/>
          <w:bCs/>
          <w:sz w:val="24"/>
          <w:szCs w:val="24"/>
        </w:rPr>
        <w:t>§ 1.</w:t>
      </w:r>
      <w:r>
        <w:rPr>
          <w:rFonts w:asciiTheme="majorHAnsi" w:hAnsiTheme="majorHAnsi"/>
          <w:bCs/>
          <w:sz w:val="24"/>
          <w:szCs w:val="24"/>
        </w:rPr>
        <w:t xml:space="preserve"> 1. Uchwala się miejscowy plan zagospodarowania przestrzennego, </w:t>
      </w:r>
      <w:r w:rsidRPr="00040A69">
        <w:rPr>
          <w:rFonts w:asciiTheme="majorHAnsi" w:hAnsiTheme="majorHAnsi"/>
          <w:sz w:val="24"/>
          <w:szCs w:val="24"/>
        </w:rPr>
        <w:t>o nazwie „Smerek 1/2016”, terenu położonego w miejscowości Smerek, Gmina Cisna</w:t>
      </w:r>
      <w:r>
        <w:rPr>
          <w:rFonts w:asciiTheme="majorHAnsi" w:hAnsiTheme="majorHAnsi"/>
          <w:sz w:val="24"/>
          <w:szCs w:val="24"/>
        </w:rPr>
        <w:t>, zwany w dalszej części uchwały planem.</w:t>
      </w:r>
    </w:p>
    <w:p w:rsidR="00040A69" w:rsidRDefault="00040A69" w:rsidP="00A54B5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2. </w:t>
      </w:r>
      <w:r w:rsidR="00B14E64">
        <w:rPr>
          <w:rFonts w:asciiTheme="majorHAnsi" w:hAnsiTheme="majorHAnsi"/>
          <w:sz w:val="24"/>
          <w:szCs w:val="24"/>
        </w:rPr>
        <w:t xml:space="preserve">Plan obejmuje granicami obszar </w:t>
      </w:r>
      <w:r w:rsidR="00827B3E">
        <w:rPr>
          <w:rFonts w:asciiTheme="majorHAnsi" w:hAnsiTheme="majorHAnsi"/>
          <w:sz w:val="24"/>
          <w:szCs w:val="24"/>
        </w:rPr>
        <w:t>działki nr ew. 52/4 oraz działki nr ew.</w:t>
      </w:r>
      <w:r w:rsidR="00B14E64">
        <w:rPr>
          <w:rFonts w:asciiTheme="majorHAnsi" w:hAnsiTheme="majorHAnsi"/>
          <w:sz w:val="24"/>
          <w:szCs w:val="24"/>
        </w:rPr>
        <w:t xml:space="preserve"> 52/2, obręb – Smerek,</w:t>
      </w:r>
      <w:r w:rsidR="00827B3E">
        <w:rPr>
          <w:rFonts w:asciiTheme="majorHAnsi" w:hAnsiTheme="majorHAnsi"/>
          <w:sz w:val="24"/>
          <w:szCs w:val="24"/>
        </w:rPr>
        <w:t xml:space="preserve"> </w:t>
      </w:r>
      <w:r w:rsidR="00C91FB3">
        <w:rPr>
          <w:rFonts w:asciiTheme="majorHAnsi" w:hAnsiTheme="majorHAnsi"/>
          <w:sz w:val="24"/>
          <w:szCs w:val="24"/>
        </w:rPr>
        <w:t xml:space="preserve"> </w:t>
      </w:r>
      <w:r w:rsidR="00B14E64">
        <w:rPr>
          <w:rFonts w:asciiTheme="majorHAnsi" w:hAnsiTheme="majorHAnsi"/>
          <w:sz w:val="24"/>
          <w:szCs w:val="24"/>
        </w:rPr>
        <w:t>o łącznej powierzchni 5,9483 ha, położonych w miejscowości Smerek, Gmina Cisna.</w:t>
      </w:r>
    </w:p>
    <w:p w:rsidR="00B14E64" w:rsidRDefault="00B14E64" w:rsidP="00A54B5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3. Załącznikami do niniejszej uchwały są:</w:t>
      </w:r>
    </w:p>
    <w:p w:rsidR="00B14E64" w:rsidRDefault="00B14E64" w:rsidP="00A54B58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1) Załącznik </w:t>
      </w:r>
      <w:r w:rsidR="00C91FB3">
        <w:rPr>
          <w:rFonts w:asciiTheme="majorHAnsi" w:hAnsiTheme="majorHAnsi"/>
          <w:sz w:val="24"/>
          <w:szCs w:val="24"/>
        </w:rPr>
        <w:t>Nr 1 – rysunek planu w skali 1:1</w:t>
      </w:r>
      <w:r>
        <w:rPr>
          <w:rFonts w:asciiTheme="majorHAnsi" w:hAnsiTheme="majorHAnsi"/>
          <w:sz w:val="24"/>
          <w:szCs w:val="24"/>
        </w:rPr>
        <w:t xml:space="preserve">000 stanowiący integralną część </w:t>
      </w:r>
      <w:r w:rsidR="00A54B5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uchwały, który obowiązuje w zakresie zastosowanych </w:t>
      </w:r>
      <w:r w:rsidR="00C91FB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oznaczeń stanowionych,</w:t>
      </w:r>
    </w:p>
    <w:p w:rsidR="00A54B58" w:rsidRDefault="00A54B58" w:rsidP="00A54B58">
      <w:pPr>
        <w:tabs>
          <w:tab w:val="left" w:pos="426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2) Załącznik Nr</w:t>
      </w:r>
      <w:r w:rsidR="00C91FB3">
        <w:rPr>
          <w:rFonts w:asciiTheme="majorHAnsi" w:hAnsiTheme="majorHAnsi"/>
          <w:sz w:val="24"/>
          <w:szCs w:val="24"/>
        </w:rPr>
        <w:t xml:space="preserve"> 2 – zawierający rozstrzygnięcie</w:t>
      </w:r>
      <w:r>
        <w:rPr>
          <w:rFonts w:asciiTheme="majorHAnsi" w:hAnsiTheme="majorHAnsi"/>
          <w:sz w:val="24"/>
          <w:szCs w:val="24"/>
        </w:rPr>
        <w:t xml:space="preserve"> o sposobie rozpatrzenia uwag</w:t>
      </w:r>
      <w:r w:rsidR="00D63AA6">
        <w:rPr>
          <w:rFonts w:asciiTheme="majorHAnsi" w:hAnsiTheme="majorHAnsi"/>
          <w:sz w:val="24"/>
          <w:szCs w:val="24"/>
        </w:rPr>
        <w:t xml:space="preserve"> do </w:t>
      </w:r>
      <w:r>
        <w:rPr>
          <w:rFonts w:asciiTheme="majorHAnsi" w:hAnsiTheme="majorHAnsi"/>
          <w:sz w:val="24"/>
          <w:szCs w:val="24"/>
        </w:rPr>
        <w:t>projektu planu.</w:t>
      </w:r>
    </w:p>
    <w:p w:rsidR="00C91FB3" w:rsidRPr="00040A69" w:rsidRDefault="00C91FB3" w:rsidP="00C91FB3">
      <w:pPr>
        <w:tabs>
          <w:tab w:val="left" w:pos="426"/>
        </w:tabs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4</w:t>
      </w:r>
      <w:r w:rsidRPr="00C91FB3">
        <w:rPr>
          <w:rFonts w:asciiTheme="majorHAnsi" w:hAnsiTheme="majorHAnsi"/>
          <w:sz w:val="24"/>
          <w:szCs w:val="24"/>
        </w:rPr>
        <w:t xml:space="preserve">.Część tekstowa planu zawiera odniesienia do części graficznej, tj. rysunku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C91FB3">
        <w:rPr>
          <w:rFonts w:asciiTheme="majorHAnsi" w:hAnsiTheme="majorHAnsi"/>
          <w:sz w:val="24"/>
          <w:szCs w:val="24"/>
        </w:rPr>
        <w:t>planu, które obowiązują</w:t>
      </w:r>
      <w:r>
        <w:rPr>
          <w:rFonts w:asciiTheme="majorHAnsi" w:hAnsiTheme="majorHAnsi"/>
          <w:sz w:val="24"/>
          <w:szCs w:val="24"/>
        </w:rPr>
        <w:t xml:space="preserve">  </w:t>
      </w:r>
      <w:r w:rsidRPr="00C91FB3">
        <w:rPr>
          <w:rFonts w:asciiTheme="majorHAnsi" w:hAnsiTheme="majorHAnsi"/>
          <w:sz w:val="24"/>
          <w:szCs w:val="24"/>
        </w:rPr>
        <w:t xml:space="preserve">w zakresie ustalonym.  </w:t>
      </w:r>
    </w:p>
    <w:p w:rsidR="00040A69" w:rsidRDefault="00A54B58" w:rsidP="00A54B58">
      <w:pPr>
        <w:tabs>
          <w:tab w:val="left" w:pos="709"/>
        </w:tabs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040A69">
        <w:rPr>
          <w:rFonts w:asciiTheme="majorHAnsi" w:hAnsiTheme="majorHAnsi"/>
          <w:b/>
          <w:bCs/>
          <w:sz w:val="24"/>
          <w:szCs w:val="24"/>
        </w:rPr>
        <w:t>§</w:t>
      </w:r>
      <w:r>
        <w:rPr>
          <w:rFonts w:asciiTheme="majorHAnsi" w:hAnsiTheme="majorHAnsi"/>
          <w:b/>
          <w:bCs/>
          <w:sz w:val="24"/>
          <w:szCs w:val="24"/>
        </w:rPr>
        <w:t xml:space="preserve"> 2</w:t>
      </w:r>
      <w:r w:rsidRPr="00040A69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1. </w:t>
      </w:r>
      <w:r w:rsidR="00C91FB3">
        <w:rPr>
          <w:rFonts w:asciiTheme="majorHAnsi" w:hAnsiTheme="majorHAnsi"/>
          <w:bCs/>
          <w:sz w:val="24"/>
          <w:szCs w:val="24"/>
        </w:rPr>
        <w:t>W granicach planu wyznacza się teren usług, oznaczony na rysunku planu symbolem</w:t>
      </w:r>
      <w:r w:rsidR="00C91FB3" w:rsidRPr="00B7187E">
        <w:rPr>
          <w:rFonts w:asciiTheme="majorHAnsi" w:hAnsiTheme="majorHAnsi"/>
          <w:b/>
          <w:bCs/>
          <w:sz w:val="24"/>
          <w:szCs w:val="24"/>
        </w:rPr>
        <w:t xml:space="preserve"> U.</w:t>
      </w:r>
      <w:r w:rsidR="00C91FB3">
        <w:rPr>
          <w:rFonts w:asciiTheme="majorHAnsi" w:hAnsiTheme="majorHAnsi"/>
          <w:bCs/>
          <w:sz w:val="24"/>
          <w:szCs w:val="24"/>
        </w:rPr>
        <w:t xml:space="preserve"> </w:t>
      </w:r>
    </w:p>
    <w:p w:rsidR="00AD2F73" w:rsidRDefault="00E318B3" w:rsidP="00AD2F73">
      <w:pPr>
        <w:tabs>
          <w:tab w:val="left" w:pos="709"/>
        </w:tabs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 w:rsidRPr="00B7187E">
        <w:rPr>
          <w:rFonts w:asciiTheme="majorHAnsi" w:hAnsiTheme="majorHAnsi"/>
          <w:b/>
          <w:bCs/>
          <w:sz w:val="24"/>
          <w:szCs w:val="24"/>
        </w:rPr>
        <w:t>2.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B7187E">
        <w:rPr>
          <w:rFonts w:asciiTheme="majorHAnsi" w:hAnsiTheme="majorHAnsi"/>
          <w:bCs/>
          <w:sz w:val="24"/>
          <w:szCs w:val="24"/>
        </w:rPr>
        <w:t xml:space="preserve"> </w:t>
      </w:r>
      <w:r w:rsidR="00B7187E" w:rsidRPr="00B7187E">
        <w:rPr>
          <w:rFonts w:asciiTheme="majorHAnsi" w:hAnsiTheme="majorHAnsi"/>
          <w:bCs/>
          <w:sz w:val="24"/>
          <w:szCs w:val="24"/>
        </w:rPr>
        <w:t xml:space="preserve">Granice planu są ściśle określone i ograniczają teren tożsamy z  obszarem o funkcji przeznaczonej pod </w:t>
      </w:r>
      <w:r w:rsidR="00B7187E">
        <w:rPr>
          <w:rFonts w:asciiTheme="majorHAnsi" w:hAnsiTheme="majorHAnsi"/>
          <w:bCs/>
          <w:sz w:val="24"/>
          <w:szCs w:val="24"/>
        </w:rPr>
        <w:t xml:space="preserve"> usługi, związane z obsługą gospodarki leśnej.</w:t>
      </w:r>
    </w:p>
    <w:p w:rsidR="00017FA8" w:rsidRDefault="00017FA8" w:rsidP="00017FA8">
      <w:pPr>
        <w:tabs>
          <w:tab w:val="left" w:pos="426"/>
        </w:tabs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 w:rsidR="00B7187E">
        <w:rPr>
          <w:rFonts w:asciiTheme="majorHAnsi" w:hAnsiTheme="majorHAnsi"/>
          <w:bCs/>
          <w:sz w:val="24"/>
          <w:szCs w:val="24"/>
        </w:rPr>
        <w:t xml:space="preserve"> </w:t>
      </w:r>
    </w:p>
    <w:p w:rsidR="00017FA8" w:rsidRDefault="00017FA8" w:rsidP="009C2DD1">
      <w:pPr>
        <w:tabs>
          <w:tab w:val="left" w:pos="709"/>
        </w:tabs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ab/>
      </w:r>
      <w:r w:rsidRPr="00040A69">
        <w:rPr>
          <w:rFonts w:asciiTheme="majorHAnsi" w:hAnsiTheme="majorHAnsi"/>
          <w:b/>
          <w:bCs/>
          <w:sz w:val="24"/>
          <w:szCs w:val="24"/>
        </w:rPr>
        <w:t>§</w:t>
      </w:r>
      <w:r>
        <w:rPr>
          <w:rFonts w:asciiTheme="majorHAnsi" w:hAnsiTheme="majorHAnsi"/>
          <w:b/>
          <w:bCs/>
          <w:sz w:val="24"/>
          <w:szCs w:val="24"/>
        </w:rPr>
        <w:t xml:space="preserve"> 3</w:t>
      </w:r>
      <w:r w:rsidRPr="00040A69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A22E77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 xml:space="preserve">Ilekroć </w:t>
      </w:r>
      <w:r w:rsidR="00D63AA6">
        <w:rPr>
          <w:rFonts w:asciiTheme="majorHAnsi" w:hAnsiTheme="majorHAnsi"/>
          <w:bCs/>
          <w:sz w:val="24"/>
          <w:szCs w:val="24"/>
        </w:rPr>
        <w:t xml:space="preserve">w uchwale mówi się o: </w:t>
      </w:r>
    </w:p>
    <w:p w:rsidR="00D63AA6" w:rsidRDefault="00B7187E" w:rsidP="009C2DD1">
      <w:pPr>
        <w:pStyle w:val="Akapitzlist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D63AA6">
        <w:rPr>
          <w:rFonts w:asciiTheme="majorHAnsi" w:hAnsiTheme="majorHAnsi"/>
          <w:sz w:val="24"/>
          <w:szCs w:val="24"/>
        </w:rPr>
        <w:t>sługach nieuciążliwych – należy przez to rozumieć usługi nie zaliczane do przedsięwzięć mogących znacząco oraz potencjalnie znacząco oddziaływać na środowisko, które nie są związane z emisją zapachów, widocznych dymów i oparów.</w:t>
      </w:r>
    </w:p>
    <w:p w:rsidR="00D63AA6" w:rsidRPr="00A22E77" w:rsidRDefault="00A22E77" w:rsidP="00A22E77">
      <w:pPr>
        <w:pStyle w:val="Akapitzlist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usługach związanych z gospodarka leśną- należy przez to rozumieć usługi prowadzone przez leśnictwa, w ramach ich obowiązków ustawowych.</w:t>
      </w:r>
    </w:p>
    <w:p w:rsidR="00A352AF" w:rsidRDefault="00E318B3" w:rsidP="0060252E">
      <w:pPr>
        <w:jc w:val="both"/>
        <w:rPr>
          <w:rFonts w:asciiTheme="majorHAnsi" w:hAnsiTheme="majorHAnsi"/>
          <w:sz w:val="24"/>
          <w:szCs w:val="24"/>
        </w:rPr>
      </w:pPr>
      <w:r>
        <w:tab/>
      </w:r>
      <w:r w:rsidRPr="009C2DD1">
        <w:rPr>
          <w:rFonts w:asciiTheme="majorHAnsi" w:hAnsiTheme="majorHAnsi"/>
          <w:b/>
          <w:sz w:val="24"/>
          <w:szCs w:val="24"/>
        </w:rPr>
        <w:t>§</w:t>
      </w:r>
      <w:r w:rsidR="009C2DD1">
        <w:rPr>
          <w:rFonts w:asciiTheme="majorHAnsi" w:hAnsiTheme="majorHAnsi"/>
          <w:b/>
          <w:sz w:val="24"/>
          <w:szCs w:val="24"/>
        </w:rPr>
        <w:t xml:space="preserve"> </w:t>
      </w:r>
      <w:r w:rsidR="00A22E77">
        <w:rPr>
          <w:rFonts w:asciiTheme="majorHAnsi" w:hAnsiTheme="majorHAnsi"/>
          <w:b/>
          <w:sz w:val="24"/>
          <w:szCs w:val="24"/>
        </w:rPr>
        <w:t>4</w:t>
      </w:r>
      <w:r w:rsidR="00A352AF">
        <w:rPr>
          <w:rFonts w:asciiTheme="majorHAnsi" w:hAnsiTheme="majorHAnsi"/>
          <w:b/>
          <w:sz w:val="24"/>
          <w:szCs w:val="24"/>
        </w:rPr>
        <w:t xml:space="preserve">. </w:t>
      </w:r>
      <w:r w:rsidR="00A352AF" w:rsidRPr="00A352AF">
        <w:rPr>
          <w:rFonts w:asciiTheme="majorHAnsi" w:hAnsiTheme="majorHAnsi"/>
          <w:sz w:val="24"/>
          <w:szCs w:val="24"/>
        </w:rPr>
        <w:t>Przy zagospodarowaniu terenu objętego planem należy uwzględnić :</w:t>
      </w:r>
    </w:p>
    <w:p w:rsidR="00A352AF" w:rsidRPr="000C401D" w:rsidRDefault="00A352AF" w:rsidP="000C401D">
      <w:pPr>
        <w:jc w:val="both"/>
        <w:rPr>
          <w:rFonts w:ascii="Times New Roman" w:hAnsi="Times New Roman" w:cs="Times New Roman"/>
        </w:rPr>
      </w:pPr>
      <w:r>
        <w:rPr>
          <w:rFonts w:asciiTheme="majorHAnsi" w:hAnsiTheme="majorHAnsi"/>
          <w:sz w:val="24"/>
          <w:szCs w:val="24"/>
        </w:rPr>
        <w:tab/>
      </w:r>
      <w:r w:rsidRPr="000C401D">
        <w:rPr>
          <w:rFonts w:ascii="Times New Roman" w:hAnsi="Times New Roman" w:cs="Times New Roman"/>
          <w:sz w:val="24"/>
          <w:szCs w:val="24"/>
        </w:rPr>
        <w:t>1)</w:t>
      </w:r>
      <w:r w:rsidRPr="000C401D">
        <w:rPr>
          <w:rFonts w:ascii="Times New Roman" w:hAnsi="Times New Roman" w:cs="Times New Roman"/>
        </w:rPr>
        <w:t xml:space="preserve"> </w:t>
      </w:r>
      <w:r w:rsidR="000C401D" w:rsidRPr="000C401D">
        <w:rPr>
          <w:rFonts w:ascii="Times New Roman" w:hAnsi="Times New Roman" w:cs="Times New Roman"/>
        </w:rPr>
        <w:t xml:space="preserve">położenie w granicach </w:t>
      </w:r>
      <w:proofErr w:type="spellStart"/>
      <w:r w:rsidRPr="000C401D">
        <w:rPr>
          <w:rFonts w:ascii="Times New Roman" w:hAnsi="Times New Roman" w:cs="Times New Roman"/>
        </w:rPr>
        <w:t>C</w:t>
      </w:r>
      <w:r w:rsidR="000C401D" w:rsidRPr="000C401D">
        <w:rPr>
          <w:rFonts w:ascii="Times New Roman" w:hAnsi="Times New Roman" w:cs="Times New Roman"/>
        </w:rPr>
        <w:t>iśniańsko</w:t>
      </w:r>
      <w:proofErr w:type="spellEnd"/>
      <w:r w:rsidR="000C401D" w:rsidRPr="000C401D">
        <w:rPr>
          <w:rFonts w:ascii="Times New Roman" w:hAnsi="Times New Roman" w:cs="Times New Roman"/>
        </w:rPr>
        <w:t>-</w:t>
      </w:r>
      <w:r w:rsidRPr="000C401D">
        <w:rPr>
          <w:rFonts w:ascii="Times New Roman" w:hAnsi="Times New Roman" w:cs="Times New Roman"/>
        </w:rPr>
        <w:t xml:space="preserve"> </w:t>
      </w:r>
      <w:r w:rsidR="000C401D" w:rsidRPr="000C401D">
        <w:rPr>
          <w:rFonts w:ascii="Times New Roman" w:hAnsi="Times New Roman" w:cs="Times New Roman"/>
        </w:rPr>
        <w:t xml:space="preserve"> </w:t>
      </w:r>
      <w:proofErr w:type="spellStart"/>
      <w:r w:rsidR="000C401D" w:rsidRPr="000C401D">
        <w:rPr>
          <w:rFonts w:ascii="Times New Roman" w:hAnsi="Times New Roman" w:cs="Times New Roman"/>
        </w:rPr>
        <w:t>Wetlińskiego</w:t>
      </w:r>
      <w:proofErr w:type="spellEnd"/>
      <w:r w:rsidR="000C401D" w:rsidRPr="000C401D">
        <w:rPr>
          <w:rFonts w:ascii="Times New Roman" w:hAnsi="Times New Roman" w:cs="Times New Roman"/>
        </w:rPr>
        <w:t xml:space="preserve"> Parku Krajobrazowego </w:t>
      </w:r>
      <w:r w:rsidRPr="000C401D">
        <w:rPr>
          <w:rFonts w:ascii="Times New Roman" w:hAnsi="Times New Roman" w:cs="Times New Roman"/>
        </w:rPr>
        <w:t xml:space="preserve">  </w:t>
      </w:r>
      <w:r w:rsidR="000C401D" w:rsidRPr="000C401D">
        <w:rPr>
          <w:rFonts w:ascii="Times New Roman" w:hAnsi="Times New Roman" w:cs="Times New Roman"/>
        </w:rPr>
        <w:t xml:space="preserve">oraz obszarów Natura 2000 do których należy  </w:t>
      </w:r>
      <w:r w:rsidR="000C401D">
        <w:rPr>
          <w:rFonts w:ascii="Times New Roman" w:hAnsi="Times New Roman" w:cs="Times New Roman"/>
        </w:rPr>
        <w:t>Obszar</w:t>
      </w:r>
      <w:r w:rsidR="000C401D" w:rsidRPr="000C401D">
        <w:rPr>
          <w:rFonts w:ascii="Times New Roman" w:hAnsi="Times New Roman" w:cs="Times New Roman"/>
        </w:rPr>
        <w:t xml:space="preserve"> Specjalnej Ochrony Ptaków Natura 2000 ”Bieszczady” (PLC 180001),</w:t>
      </w:r>
      <w:r w:rsidR="000C401D" w:rsidRPr="000C401D">
        <w:rPr>
          <w:rFonts w:ascii="Times New Roman" w:hAnsi="Times New Roman" w:cs="Times New Roman"/>
        </w:rPr>
        <w:t xml:space="preserve"> </w:t>
      </w:r>
      <w:r w:rsidR="000C401D">
        <w:rPr>
          <w:rFonts w:ascii="Times New Roman" w:hAnsi="Times New Roman" w:cs="Times New Roman"/>
        </w:rPr>
        <w:t xml:space="preserve"> Obszar mający</w:t>
      </w:r>
      <w:r w:rsidR="000C401D" w:rsidRPr="000C401D">
        <w:rPr>
          <w:rFonts w:ascii="Times New Roman" w:hAnsi="Times New Roman" w:cs="Times New Roman"/>
        </w:rPr>
        <w:t xml:space="preserve"> znaczenie dla Wspólnoty „Bieszczady” (PLC 180001)</w:t>
      </w:r>
      <w:r w:rsidR="000C401D">
        <w:rPr>
          <w:rFonts w:ascii="Times New Roman" w:hAnsi="Times New Roman" w:cs="Times New Roman"/>
        </w:rPr>
        <w:t xml:space="preserve">, </w:t>
      </w:r>
      <w:r w:rsidR="000C401D" w:rsidRPr="000C401D">
        <w:rPr>
          <w:rFonts w:ascii="Times New Roman" w:hAnsi="Times New Roman" w:cs="Times New Roman"/>
        </w:rPr>
        <w:t>poprzez ustalenia zawarte w przepisach szczegółowych niniejszej uchwały,</w:t>
      </w:r>
    </w:p>
    <w:p w:rsidR="00A352AF" w:rsidRPr="000C401D" w:rsidRDefault="00A352AF" w:rsidP="00A352AF">
      <w:pPr>
        <w:jc w:val="both"/>
        <w:rPr>
          <w:rFonts w:ascii="Times New Roman" w:hAnsi="Times New Roman" w:cs="Times New Roman"/>
          <w:sz w:val="24"/>
          <w:szCs w:val="24"/>
        </w:rPr>
      </w:pPr>
      <w:r w:rsidRPr="000C401D">
        <w:rPr>
          <w:rFonts w:ascii="Times New Roman" w:hAnsi="Times New Roman" w:cs="Times New Roman"/>
          <w:sz w:val="24"/>
          <w:szCs w:val="24"/>
        </w:rPr>
        <w:tab/>
        <w:t>2)</w:t>
      </w:r>
      <w:r w:rsidR="000C401D">
        <w:rPr>
          <w:rFonts w:ascii="Times New Roman" w:hAnsi="Times New Roman" w:cs="Times New Roman"/>
          <w:sz w:val="24"/>
          <w:szCs w:val="24"/>
        </w:rPr>
        <w:t xml:space="preserve"> </w:t>
      </w:r>
      <w:r w:rsidR="000C401D" w:rsidRPr="000C401D">
        <w:rPr>
          <w:rFonts w:ascii="Times New Roman" w:hAnsi="Times New Roman" w:cs="Times New Roman"/>
          <w:sz w:val="24"/>
          <w:szCs w:val="24"/>
        </w:rPr>
        <w:t xml:space="preserve">położenie w granicach </w:t>
      </w:r>
      <w:r w:rsidRPr="000C401D">
        <w:rPr>
          <w:rFonts w:ascii="Times New Roman" w:hAnsi="Times New Roman" w:cs="Times New Roman"/>
          <w:sz w:val="24"/>
          <w:szCs w:val="24"/>
        </w:rPr>
        <w:t>Otuliny Bi</w:t>
      </w:r>
      <w:r w:rsidR="000C401D" w:rsidRPr="000C401D">
        <w:rPr>
          <w:rFonts w:ascii="Times New Roman" w:hAnsi="Times New Roman" w:cs="Times New Roman"/>
          <w:sz w:val="24"/>
          <w:szCs w:val="24"/>
        </w:rPr>
        <w:t xml:space="preserve">eszczadzkiego Parku Narodowego, </w:t>
      </w:r>
      <w:r w:rsidRPr="000C401D">
        <w:rPr>
          <w:rFonts w:ascii="Times New Roman" w:hAnsi="Times New Roman" w:cs="Times New Roman"/>
          <w:sz w:val="24"/>
          <w:szCs w:val="24"/>
        </w:rPr>
        <w:t>w odległości około 840,0m na zachód od gr</w:t>
      </w:r>
      <w:r w:rsidR="000C401D" w:rsidRPr="000C401D">
        <w:rPr>
          <w:rFonts w:ascii="Times New Roman" w:hAnsi="Times New Roman" w:cs="Times New Roman"/>
          <w:sz w:val="24"/>
          <w:szCs w:val="24"/>
        </w:rPr>
        <w:t>anic Bieszczadzkiego Parku Narodowego, poprzez ustalenia zawarte w przepisach s</w:t>
      </w:r>
      <w:r w:rsidR="000C401D">
        <w:rPr>
          <w:rFonts w:ascii="Times New Roman" w:hAnsi="Times New Roman" w:cs="Times New Roman"/>
          <w:sz w:val="24"/>
          <w:szCs w:val="24"/>
        </w:rPr>
        <w:t>zczegółowych niniejszej uchwały.</w:t>
      </w:r>
    </w:p>
    <w:p w:rsidR="00543E10" w:rsidRDefault="00A352AF" w:rsidP="00543E10">
      <w:pPr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</w:t>
      </w:r>
      <w:r w:rsidR="00543E10" w:rsidRPr="00543E10">
        <w:rPr>
          <w:rFonts w:asciiTheme="majorHAnsi" w:hAnsiTheme="majorHAnsi"/>
          <w:b/>
          <w:sz w:val="24"/>
          <w:szCs w:val="24"/>
        </w:rPr>
        <w:t>5.</w:t>
      </w:r>
      <w:r w:rsidR="00827B3E">
        <w:rPr>
          <w:rFonts w:asciiTheme="majorHAnsi" w:hAnsiTheme="majorHAnsi"/>
          <w:sz w:val="24"/>
          <w:szCs w:val="24"/>
        </w:rPr>
        <w:t>Teren dla którego</w:t>
      </w:r>
      <w:r w:rsidR="00543E10" w:rsidRPr="00543E10">
        <w:rPr>
          <w:rFonts w:asciiTheme="majorHAnsi" w:hAnsiTheme="majorHAnsi"/>
          <w:sz w:val="24"/>
          <w:szCs w:val="24"/>
        </w:rPr>
        <w:t xml:space="preserve"> plan ustala now</w:t>
      </w:r>
      <w:r w:rsidR="00543E10">
        <w:rPr>
          <w:rFonts w:asciiTheme="majorHAnsi" w:hAnsiTheme="majorHAnsi"/>
          <w:sz w:val="24"/>
          <w:szCs w:val="24"/>
        </w:rPr>
        <w:t xml:space="preserve">e przeznaczenie, utrzymuje się </w:t>
      </w:r>
      <w:r w:rsidR="00543E10" w:rsidRPr="00543E10">
        <w:rPr>
          <w:rFonts w:asciiTheme="majorHAnsi" w:hAnsiTheme="majorHAnsi"/>
          <w:sz w:val="24"/>
          <w:szCs w:val="24"/>
        </w:rPr>
        <w:t xml:space="preserve">w </w:t>
      </w:r>
      <w:r w:rsidR="00543E10">
        <w:rPr>
          <w:rFonts w:asciiTheme="majorHAnsi" w:hAnsiTheme="majorHAnsi"/>
          <w:sz w:val="24"/>
          <w:szCs w:val="24"/>
        </w:rPr>
        <w:t xml:space="preserve">     </w:t>
      </w:r>
      <w:r w:rsidR="00543E10" w:rsidRPr="00543E10">
        <w:rPr>
          <w:rFonts w:asciiTheme="majorHAnsi" w:hAnsiTheme="majorHAnsi"/>
          <w:sz w:val="24"/>
          <w:szCs w:val="24"/>
        </w:rPr>
        <w:t>dotychcz</w:t>
      </w:r>
      <w:r w:rsidR="00827B3E">
        <w:rPr>
          <w:rFonts w:asciiTheme="majorHAnsi" w:hAnsiTheme="majorHAnsi"/>
          <w:sz w:val="24"/>
          <w:szCs w:val="24"/>
        </w:rPr>
        <w:t xml:space="preserve">asowym użytkowaniu, do czasu </w:t>
      </w:r>
      <w:proofErr w:type="spellStart"/>
      <w:r w:rsidR="00827B3E">
        <w:rPr>
          <w:rFonts w:asciiTheme="majorHAnsi" w:hAnsiTheme="majorHAnsi"/>
          <w:sz w:val="24"/>
          <w:szCs w:val="24"/>
        </w:rPr>
        <w:t>jesu</w:t>
      </w:r>
      <w:proofErr w:type="spellEnd"/>
      <w:r w:rsidR="00543E10" w:rsidRPr="00543E10">
        <w:rPr>
          <w:rFonts w:asciiTheme="majorHAnsi" w:hAnsiTheme="majorHAnsi"/>
          <w:sz w:val="24"/>
          <w:szCs w:val="24"/>
        </w:rPr>
        <w:t xml:space="preserve"> zagospodarowania zgodnie z planem.</w:t>
      </w:r>
    </w:p>
    <w:p w:rsidR="00543E10" w:rsidRDefault="00543E10" w:rsidP="00543E10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543E10">
        <w:rPr>
          <w:rFonts w:asciiTheme="majorHAnsi" w:hAnsiTheme="majorHAnsi"/>
          <w:b/>
          <w:sz w:val="24"/>
          <w:szCs w:val="24"/>
        </w:rPr>
        <w:t>§6</w:t>
      </w:r>
      <w:r w:rsidRPr="00543E10">
        <w:rPr>
          <w:rFonts w:asciiTheme="majorHAnsi" w:hAnsiTheme="majorHAnsi"/>
          <w:sz w:val="24"/>
          <w:szCs w:val="24"/>
        </w:rPr>
        <w:t>.Ustala się 0,1 % stawkę służącą naliczeniu jednor</w:t>
      </w:r>
      <w:r>
        <w:rPr>
          <w:rFonts w:asciiTheme="majorHAnsi" w:hAnsiTheme="majorHAnsi"/>
          <w:sz w:val="24"/>
          <w:szCs w:val="24"/>
        </w:rPr>
        <w:t xml:space="preserve">azowych opłat z tytułu wzrostu </w:t>
      </w:r>
      <w:r w:rsidRPr="00543E10">
        <w:rPr>
          <w:rFonts w:asciiTheme="majorHAnsi" w:hAnsiTheme="majorHAnsi"/>
          <w:sz w:val="24"/>
          <w:szCs w:val="24"/>
        </w:rPr>
        <w:t>wartości nieruchomości, powstałą w związku z uchwaleniem planu.</w:t>
      </w:r>
    </w:p>
    <w:p w:rsidR="00543E10" w:rsidRPr="00543E10" w:rsidRDefault="00543E10" w:rsidP="00543E10">
      <w:pPr>
        <w:ind w:left="2832" w:firstLine="708"/>
        <w:jc w:val="both"/>
        <w:rPr>
          <w:rFonts w:asciiTheme="majorHAnsi" w:hAnsiTheme="majorHAnsi"/>
          <w:b/>
          <w:sz w:val="24"/>
          <w:szCs w:val="24"/>
        </w:rPr>
      </w:pPr>
      <w:r w:rsidRPr="00543E10">
        <w:rPr>
          <w:rFonts w:asciiTheme="majorHAnsi" w:hAnsiTheme="majorHAnsi"/>
          <w:b/>
          <w:sz w:val="24"/>
          <w:szCs w:val="24"/>
        </w:rPr>
        <w:t>Rozdział 2.</w:t>
      </w:r>
    </w:p>
    <w:p w:rsidR="00543E10" w:rsidRPr="00543E10" w:rsidRDefault="00543E10" w:rsidP="00543E10">
      <w:pPr>
        <w:ind w:left="2124" w:firstLine="708"/>
        <w:jc w:val="both"/>
        <w:rPr>
          <w:rFonts w:asciiTheme="majorHAnsi" w:hAnsiTheme="majorHAnsi"/>
          <w:b/>
          <w:sz w:val="24"/>
          <w:szCs w:val="24"/>
        </w:rPr>
      </w:pPr>
      <w:r w:rsidRPr="00543E10">
        <w:rPr>
          <w:rFonts w:asciiTheme="majorHAnsi" w:hAnsiTheme="majorHAnsi"/>
          <w:b/>
          <w:sz w:val="24"/>
          <w:szCs w:val="24"/>
        </w:rPr>
        <w:t xml:space="preserve"> Przepisy szczegółowe</w:t>
      </w:r>
    </w:p>
    <w:p w:rsidR="00543E10" w:rsidRPr="00827B3E" w:rsidRDefault="00543E10" w:rsidP="00543E10">
      <w:pPr>
        <w:jc w:val="both"/>
        <w:rPr>
          <w:rFonts w:asciiTheme="majorHAnsi" w:hAnsiTheme="majorHAnsi"/>
          <w:b/>
          <w:sz w:val="24"/>
          <w:szCs w:val="24"/>
        </w:rPr>
      </w:pPr>
      <w:r w:rsidRPr="00827B3E">
        <w:rPr>
          <w:rFonts w:asciiTheme="majorHAnsi" w:hAnsiTheme="majorHAnsi"/>
          <w:b/>
          <w:sz w:val="24"/>
          <w:szCs w:val="24"/>
        </w:rPr>
        <w:t>Przeznaczenie terenu</w:t>
      </w:r>
      <w:r w:rsidRPr="00827B3E">
        <w:rPr>
          <w:rFonts w:asciiTheme="majorHAnsi" w:hAnsiTheme="majorHAnsi"/>
          <w:b/>
          <w:sz w:val="24"/>
          <w:szCs w:val="24"/>
        </w:rPr>
        <w:t>, zasady</w:t>
      </w:r>
      <w:r w:rsidRPr="00827B3E">
        <w:rPr>
          <w:rFonts w:asciiTheme="majorHAnsi" w:hAnsiTheme="majorHAnsi"/>
          <w:b/>
          <w:sz w:val="24"/>
          <w:szCs w:val="24"/>
        </w:rPr>
        <w:t xml:space="preserve"> jego</w:t>
      </w:r>
      <w:r w:rsidRPr="00827B3E">
        <w:rPr>
          <w:rFonts w:asciiTheme="majorHAnsi" w:hAnsiTheme="majorHAnsi"/>
          <w:b/>
          <w:sz w:val="24"/>
          <w:szCs w:val="24"/>
        </w:rPr>
        <w:t xml:space="preserve"> zagospodarowania i zabudowy oraz obsługi komunikacyjnej.</w:t>
      </w:r>
    </w:p>
    <w:p w:rsidR="009C2DD1" w:rsidRPr="00827B3E" w:rsidRDefault="00543E10" w:rsidP="00A352AF">
      <w:pPr>
        <w:ind w:firstLine="70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§7</w:t>
      </w:r>
      <w:r w:rsidR="00E318B3" w:rsidRPr="00827B3E">
        <w:rPr>
          <w:rFonts w:asciiTheme="majorHAnsi" w:hAnsiTheme="majorHAnsi"/>
          <w:b/>
          <w:sz w:val="24"/>
          <w:szCs w:val="24"/>
        </w:rPr>
        <w:t>.</w:t>
      </w:r>
      <w:r w:rsidR="00B7187E" w:rsidRPr="00827B3E">
        <w:rPr>
          <w:rFonts w:asciiTheme="majorHAnsi" w:hAnsiTheme="majorHAnsi"/>
          <w:b/>
          <w:sz w:val="24"/>
          <w:szCs w:val="24"/>
        </w:rPr>
        <w:t xml:space="preserve"> 1. </w:t>
      </w:r>
      <w:r w:rsidRPr="00827B3E">
        <w:rPr>
          <w:rFonts w:asciiTheme="majorHAnsi" w:hAnsiTheme="majorHAnsi"/>
          <w:b/>
          <w:sz w:val="24"/>
          <w:szCs w:val="24"/>
        </w:rPr>
        <w:t xml:space="preserve">Ustala się  </w:t>
      </w:r>
      <w:r w:rsidR="00B7187E" w:rsidRPr="00827B3E">
        <w:rPr>
          <w:rFonts w:asciiTheme="majorHAnsi" w:hAnsiTheme="majorHAnsi"/>
          <w:b/>
          <w:sz w:val="24"/>
          <w:szCs w:val="24"/>
        </w:rPr>
        <w:t xml:space="preserve"> </w:t>
      </w:r>
      <w:r w:rsidRPr="00827B3E">
        <w:rPr>
          <w:rFonts w:asciiTheme="majorHAnsi" w:hAnsiTheme="majorHAnsi"/>
          <w:b/>
          <w:sz w:val="24"/>
          <w:szCs w:val="24"/>
        </w:rPr>
        <w:t xml:space="preserve"> przeznaczenie terenu oznaczonego na rysunku planu symbolem U,  </w:t>
      </w:r>
      <w:r w:rsidR="00827B3E">
        <w:rPr>
          <w:rFonts w:asciiTheme="majorHAnsi" w:hAnsiTheme="majorHAnsi"/>
          <w:b/>
          <w:sz w:val="24"/>
          <w:szCs w:val="24"/>
        </w:rPr>
        <w:t>pod usługi związane z gospodarką</w:t>
      </w:r>
      <w:r w:rsidRPr="00827B3E">
        <w:rPr>
          <w:rFonts w:asciiTheme="majorHAnsi" w:hAnsiTheme="majorHAnsi"/>
          <w:b/>
          <w:sz w:val="24"/>
          <w:szCs w:val="24"/>
        </w:rPr>
        <w:t xml:space="preserve"> leśną. </w:t>
      </w:r>
      <w:r w:rsidR="00E318B3" w:rsidRPr="00827B3E">
        <w:rPr>
          <w:rFonts w:asciiTheme="majorHAnsi" w:hAnsiTheme="majorHAnsi"/>
          <w:b/>
          <w:sz w:val="24"/>
          <w:szCs w:val="24"/>
        </w:rPr>
        <w:t xml:space="preserve"> </w:t>
      </w:r>
      <w:r w:rsidRPr="00827B3E">
        <w:rPr>
          <w:rFonts w:asciiTheme="majorHAnsi" w:hAnsiTheme="majorHAnsi"/>
          <w:b/>
          <w:sz w:val="24"/>
          <w:szCs w:val="24"/>
        </w:rPr>
        <w:t xml:space="preserve"> </w:t>
      </w:r>
    </w:p>
    <w:p w:rsidR="00E318B3" w:rsidRPr="00E8493D" w:rsidRDefault="00B7187E" w:rsidP="0060252E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8493D">
        <w:rPr>
          <w:rFonts w:asciiTheme="majorHAnsi" w:hAnsiTheme="majorHAnsi"/>
          <w:b/>
          <w:sz w:val="24"/>
          <w:szCs w:val="24"/>
        </w:rPr>
        <w:t xml:space="preserve">2. </w:t>
      </w:r>
      <w:r w:rsidR="00543E10" w:rsidRPr="00E8493D">
        <w:rPr>
          <w:rFonts w:asciiTheme="majorHAnsi" w:hAnsiTheme="majorHAnsi"/>
          <w:b/>
          <w:sz w:val="24"/>
          <w:szCs w:val="24"/>
        </w:rPr>
        <w:t>Ustala się następujące zasady ochrony i kształtowania ładu przestrzennego:</w:t>
      </w:r>
    </w:p>
    <w:p w:rsidR="00E8493D" w:rsidRDefault="008638B8" w:rsidP="00E8493D">
      <w:pPr>
        <w:ind w:firstLine="426"/>
        <w:jc w:val="both"/>
        <w:rPr>
          <w:rFonts w:asciiTheme="majorHAnsi" w:hAnsiTheme="majorHAnsi"/>
          <w:sz w:val="24"/>
          <w:szCs w:val="24"/>
        </w:rPr>
      </w:pPr>
      <w:r w:rsidRPr="009C2DD1">
        <w:rPr>
          <w:rFonts w:asciiTheme="majorHAnsi" w:hAnsiTheme="majorHAnsi"/>
          <w:sz w:val="24"/>
          <w:szCs w:val="24"/>
        </w:rPr>
        <w:t xml:space="preserve">1) </w:t>
      </w:r>
      <w:r w:rsidR="000C401D">
        <w:rPr>
          <w:rFonts w:asciiTheme="majorHAnsi" w:hAnsiTheme="majorHAnsi"/>
          <w:sz w:val="24"/>
          <w:szCs w:val="24"/>
        </w:rPr>
        <w:t xml:space="preserve">  </w:t>
      </w:r>
      <w:r w:rsidR="00543E10">
        <w:rPr>
          <w:rFonts w:asciiTheme="majorHAnsi" w:hAnsiTheme="majorHAnsi"/>
          <w:sz w:val="24"/>
          <w:szCs w:val="24"/>
        </w:rPr>
        <w:t xml:space="preserve">obowiązuje </w:t>
      </w:r>
      <w:r w:rsidR="00543E10" w:rsidRPr="00543E10">
        <w:rPr>
          <w:rFonts w:asciiTheme="majorHAnsi" w:hAnsiTheme="majorHAnsi"/>
          <w:sz w:val="24"/>
          <w:szCs w:val="24"/>
        </w:rPr>
        <w:t xml:space="preserve">zakaz lokalizacji obiektów </w:t>
      </w:r>
      <w:r w:rsidR="00543E10">
        <w:rPr>
          <w:rFonts w:asciiTheme="majorHAnsi" w:hAnsiTheme="majorHAnsi"/>
          <w:sz w:val="24"/>
          <w:szCs w:val="24"/>
        </w:rPr>
        <w:t xml:space="preserve">nie związanych z </w:t>
      </w:r>
      <w:r w:rsidRPr="009C2DD1">
        <w:rPr>
          <w:rFonts w:asciiTheme="majorHAnsi" w:hAnsiTheme="majorHAnsi"/>
          <w:sz w:val="24"/>
          <w:szCs w:val="24"/>
        </w:rPr>
        <w:t xml:space="preserve"> gospodarką leśną, </w:t>
      </w:r>
      <w:r w:rsidR="00E8493D">
        <w:rPr>
          <w:rFonts w:asciiTheme="majorHAnsi" w:hAnsiTheme="majorHAnsi"/>
          <w:sz w:val="24"/>
          <w:szCs w:val="24"/>
        </w:rPr>
        <w:t xml:space="preserve"> </w:t>
      </w:r>
    </w:p>
    <w:p w:rsidR="00827B3E" w:rsidRDefault="00827B3E" w:rsidP="00E8493D">
      <w:pPr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</w:t>
      </w:r>
      <w:r w:rsidRPr="00827B3E">
        <w:t xml:space="preserve"> </w:t>
      </w:r>
      <w:r>
        <w:rPr>
          <w:rFonts w:asciiTheme="majorHAnsi" w:hAnsiTheme="majorHAnsi"/>
          <w:sz w:val="24"/>
          <w:szCs w:val="24"/>
        </w:rPr>
        <w:t xml:space="preserve"> obowią</w:t>
      </w:r>
      <w:r w:rsidRPr="00827B3E">
        <w:rPr>
          <w:rFonts w:asciiTheme="majorHAnsi" w:hAnsiTheme="majorHAnsi"/>
          <w:sz w:val="24"/>
          <w:szCs w:val="24"/>
        </w:rPr>
        <w:t>zuje zakaz lokalizacji wszelkiej zabudowy</w:t>
      </w:r>
      <w:r>
        <w:rPr>
          <w:rFonts w:asciiTheme="majorHAnsi" w:hAnsiTheme="majorHAnsi"/>
          <w:sz w:val="24"/>
          <w:szCs w:val="24"/>
        </w:rPr>
        <w:t>, w tym</w:t>
      </w:r>
      <w:r w:rsidRPr="00827B3E">
        <w:rPr>
          <w:rFonts w:asciiTheme="majorHAnsi" w:hAnsiTheme="majorHAnsi"/>
          <w:sz w:val="24"/>
          <w:szCs w:val="24"/>
        </w:rPr>
        <w:t xml:space="preserve"> mieszkaniowej, zagrodowej, gospodarczej, usługowej</w:t>
      </w:r>
      <w:r>
        <w:rPr>
          <w:rFonts w:asciiTheme="majorHAnsi" w:hAnsiTheme="majorHAnsi"/>
          <w:sz w:val="24"/>
          <w:szCs w:val="24"/>
        </w:rPr>
        <w:t>, przemysłowej</w:t>
      </w:r>
      <w:r w:rsidR="006B73D2">
        <w:rPr>
          <w:rFonts w:asciiTheme="majorHAnsi" w:hAnsiTheme="majorHAnsi"/>
          <w:sz w:val="24"/>
          <w:szCs w:val="24"/>
        </w:rPr>
        <w:t xml:space="preserve">, magazynowej </w:t>
      </w:r>
      <w:r>
        <w:rPr>
          <w:rFonts w:asciiTheme="majorHAnsi" w:hAnsiTheme="majorHAnsi"/>
          <w:sz w:val="24"/>
          <w:szCs w:val="24"/>
        </w:rPr>
        <w:t xml:space="preserve"> czy produkcyjnej.</w:t>
      </w:r>
    </w:p>
    <w:p w:rsidR="00E8493D" w:rsidRPr="00E8493D" w:rsidRDefault="00E8493D" w:rsidP="0060252E">
      <w:pPr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E8493D">
        <w:rPr>
          <w:rFonts w:asciiTheme="majorHAnsi" w:hAnsiTheme="majorHAnsi"/>
          <w:b/>
          <w:sz w:val="24"/>
          <w:szCs w:val="24"/>
        </w:rPr>
        <w:t>3.</w:t>
      </w:r>
      <w:r w:rsidRPr="00E8493D">
        <w:rPr>
          <w:rFonts w:asciiTheme="majorHAnsi" w:hAnsiTheme="majorHAnsi"/>
          <w:b/>
          <w:sz w:val="24"/>
          <w:szCs w:val="24"/>
        </w:rPr>
        <w:tab/>
        <w:t xml:space="preserve">Ustala się następujące zasady ochrony środowiska i  przyrody:   </w:t>
      </w:r>
    </w:p>
    <w:p w:rsidR="008638B8" w:rsidRPr="009C2DD1" w:rsidRDefault="00E8493D" w:rsidP="00181D22">
      <w:pPr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8638B8" w:rsidRPr="009C2DD1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obowiązuje </w:t>
      </w:r>
      <w:r w:rsidR="007017D1" w:rsidRPr="009C2DD1">
        <w:rPr>
          <w:rFonts w:asciiTheme="majorHAnsi" w:hAnsiTheme="majorHAnsi"/>
          <w:sz w:val="24"/>
          <w:szCs w:val="24"/>
        </w:rPr>
        <w:t xml:space="preserve">zakaz realizacji przedsięwzięć mogących zawsze </w:t>
      </w:r>
      <w:r w:rsidR="008D068F" w:rsidRPr="009C2DD1">
        <w:rPr>
          <w:rFonts w:asciiTheme="majorHAnsi" w:hAnsiTheme="majorHAnsi"/>
          <w:sz w:val="24"/>
          <w:szCs w:val="24"/>
        </w:rPr>
        <w:t xml:space="preserve">znacząco oddziaływać na środowisko, </w:t>
      </w:r>
      <w:r w:rsidR="00181D22">
        <w:rPr>
          <w:rFonts w:asciiTheme="majorHAnsi" w:hAnsiTheme="majorHAnsi"/>
          <w:sz w:val="24"/>
          <w:szCs w:val="24"/>
        </w:rPr>
        <w:t xml:space="preserve">lub mogących potencjalnie oddziaływać na środowisko, </w:t>
      </w:r>
      <w:r w:rsidR="008D068F" w:rsidRPr="009C2DD1">
        <w:rPr>
          <w:rFonts w:asciiTheme="majorHAnsi" w:hAnsiTheme="majorHAnsi"/>
          <w:sz w:val="24"/>
          <w:szCs w:val="24"/>
        </w:rPr>
        <w:t>za wyjątkiem przedsięwzięć dla których ocena oddziaływania  na środowisko wykaże dotrzymanie standardów jakości środowiska poza terenem przedsięwzięcia,</w:t>
      </w:r>
    </w:p>
    <w:p w:rsidR="009C2DD1" w:rsidRDefault="00E8493D" w:rsidP="00E8493D">
      <w:pPr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</w:t>
      </w:r>
      <w:r w:rsidR="008D068F" w:rsidRPr="009C2DD1">
        <w:rPr>
          <w:rFonts w:asciiTheme="majorHAnsi" w:hAnsiTheme="majorHAnsi"/>
          <w:sz w:val="24"/>
          <w:szCs w:val="24"/>
        </w:rPr>
        <w:t xml:space="preserve">) </w:t>
      </w:r>
      <w:r>
        <w:rPr>
          <w:rFonts w:asciiTheme="majorHAnsi" w:hAnsiTheme="majorHAnsi"/>
          <w:sz w:val="24"/>
          <w:szCs w:val="24"/>
        </w:rPr>
        <w:t>obowiązuje ochrona</w:t>
      </w:r>
      <w:r w:rsidR="008D068F" w:rsidRPr="009C2DD1">
        <w:rPr>
          <w:rFonts w:asciiTheme="majorHAnsi" w:hAnsiTheme="majorHAnsi"/>
          <w:sz w:val="24"/>
          <w:szCs w:val="24"/>
        </w:rPr>
        <w:t xml:space="preserve"> siedliska przyrodniczego kategorii – niżowe i górskie świeże łąki użytkowane ekstensywnie (</w:t>
      </w:r>
      <w:proofErr w:type="spellStart"/>
      <w:r w:rsidR="008D068F" w:rsidRPr="009C2DD1">
        <w:rPr>
          <w:rFonts w:asciiTheme="majorHAnsi" w:hAnsiTheme="majorHAnsi"/>
          <w:sz w:val="24"/>
          <w:szCs w:val="24"/>
        </w:rPr>
        <w:t>Arrhenatherion</w:t>
      </w:r>
      <w:proofErr w:type="spellEnd"/>
      <w:r w:rsidR="008D068F" w:rsidRPr="009C2DD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068F" w:rsidRPr="009C2DD1">
        <w:rPr>
          <w:rFonts w:asciiTheme="majorHAnsi" w:hAnsiTheme="majorHAnsi"/>
          <w:sz w:val="24"/>
          <w:szCs w:val="24"/>
        </w:rPr>
        <w:t>elatioris</w:t>
      </w:r>
      <w:proofErr w:type="spellEnd"/>
      <w:r w:rsidR="008D068F" w:rsidRPr="009C2DD1">
        <w:rPr>
          <w:rFonts w:asciiTheme="majorHAnsi" w:hAnsiTheme="majorHAnsi"/>
          <w:sz w:val="24"/>
          <w:szCs w:val="24"/>
        </w:rPr>
        <w:t>) kod: 6510,</w:t>
      </w:r>
      <w:r>
        <w:rPr>
          <w:rFonts w:asciiTheme="majorHAnsi" w:hAnsiTheme="majorHAnsi"/>
          <w:sz w:val="24"/>
          <w:szCs w:val="24"/>
        </w:rPr>
        <w:t xml:space="preserve"> w tym ochrona</w:t>
      </w:r>
      <w:r w:rsidR="008D068F" w:rsidRPr="009C2DD1">
        <w:rPr>
          <w:rFonts w:asciiTheme="majorHAnsi" w:hAnsiTheme="majorHAnsi"/>
          <w:sz w:val="24"/>
          <w:szCs w:val="24"/>
        </w:rPr>
        <w:t xml:space="preserve"> terenu przed sukcesją (zarastaniem).</w:t>
      </w:r>
    </w:p>
    <w:p w:rsidR="00E8493D" w:rsidRPr="00E8493D" w:rsidRDefault="00E8493D" w:rsidP="00E8493D">
      <w:pPr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E8493D">
        <w:rPr>
          <w:rFonts w:asciiTheme="majorHAnsi" w:hAnsiTheme="majorHAnsi"/>
          <w:b/>
          <w:sz w:val="24"/>
          <w:szCs w:val="24"/>
        </w:rPr>
        <w:t>4.</w:t>
      </w:r>
      <w:r w:rsidRPr="00E8493D">
        <w:rPr>
          <w:rFonts w:asciiTheme="majorHAnsi" w:hAnsiTheme="majorHAnsi"/>
          <w:b/>
          <w:sz w:val="24"/>
          <w:szCs w:val="24"/>
        </w:rPr>
        <w:tab/>
        <w:t xml:space="preserve">Ustala się następujące zasady </w:t>
      </w:r>
      <w:r>
        <w:rPr>
          <w:rFonts w:asciiTheme="majorHAnsi" w:hAnsiTheme="majorHAnsi"/>
          <w:b/>
          <w:sz w:val="24"/>
          <w:szCs w:val="24"/>
        </w:rPr>
        <w:t xml:space="preserve"> wyposażenia</w:t>
      </w:r>
      <w:r w:rsidRPr="00E8493D">
        <w:rPr>
          <w:rFonts w:asciiTheme="majorHAnsi" w:hAnsiTheme="majorHAnsi"/>
          <w:b/>
          <w:sz w:val="24"/>
          <w:szCs w:val="24"/>
        </w:rPr>
        <w:t xml:space="preserve"> terenu w zakresie infrastruktury technicznej:   </w:t>
      </w:r>
    </w:p>
    <w:p w:rsidR="00E8493D" w:rsidRDefault="00E8493D" w:rsidP="0060252E">
      <w:pPr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A22E77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="00A22E77">
        <w:rPr>
          <w:rFonts w:asciiTheme="majorHAnsi" w:hAnsiTheme="majorHAnsi"/>
          <w:sz w:val="24"/>
          <w:szCs w:val="24"/>
        </w:rPr>
        <w:t xml:space="preserve">dopuszcza się realizacji infrastruktury technicznej nadziemnej i podziemnej,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="00A22E77">
        <w:rPr>
          <w:rFonts w:asciiTheme="majorHAnsi" w:hAnsiTheme="majorHAnsi"/>
          <w:sz w:val="24"/>
          <w:szCs w:val="24"/>
        </w:rPr>
        <w:t>o znaczeniu lokalnym i ponadlokalnym,</w:t>
      </w:r>
      <w:r w:rsidR="00A22E77" w:rsidRPr="00A22E77">
        <w:t xml:space="preserve"> </w:t>
      </w:r>
      <w:r w:rsidR="00A22E77">
        <w:rPr>
          <w:rFonts w:asciiTheme="majorHAnsi" w:hAnsiTheme="majorHAnsi"/>
          <w:sz w:val="24"/>
          <w:szCs w:val="24"/>
        </w:rPr>
        <w:t xml:space="preserve"> </w:t>
      </w:r>
    </w:p>
    <w:p w:rsidR="00A22E77" w:rsidRDefault="00E8493D" w:rsidP="0060252E">
      <w:pPr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</w:t>
      </w:r>
      <w:r w:rsidRPr="00E8493D">
        <w:rPr>
          <w:rFonts w:asciiTheme="majorHAnsi" w:hAnsiTheme="majorHAnsi"/>
          <w:sz w:val="24"/>
          <w:szCs w:val="24"/>
        </w:rPr>
        <w:t>dopuszcza się lokalizację inwestycji celu publicznego</w:t>
      </w:r>
      <w:r>
        <w:rPr>
          <w:rFonts w:asciiTheme="majorHAnsi" w:hAnsiTheme="majorHAnsi"/>
          <w:sz w:val="24"/>
          <w:szCs w:val="24"/>
        </w:rPr>
        <w:t xml:space="preserve"> z zakresu łączności publicznej, </w:t>
      </w:r>
    </w:p>
    <w:p w:rsidR="00A22E77" w:rsidRDefault="00E8493D" w:rsidP="0060252E">
      <w:pPr>
        <w:ind w:firstLine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A22E77">
        <w:rPr>
          <w:rFonts w:asciiTheme="majorHAnsi" w:hAnsiTheme="majorHAnsi"/>
          <w:sz w:val="24"/>
          <w:szCs w:val="24"/>
        </w:rPr>
        <w:t xml:space="preserve">) zakazuje się lokalizacji </w:t>
      </w:r>
      <w:r>
        <w:rPr>
          <w:rFonts w:asciiTheme="majorHAnsi" w:hAnsiTheme="majorHAnsi"/>
          <w:sz w:val="24"/>
          <w:szCs w:val="24"/>
        </w:rPr>
        <w:t>obiektów i urządzeń elektrowni wiatrowych oraz ogniw fotowoltaicznych.</w:t>
      </w:r>
    </w:p>
    <w:p w:rsidR="00827B3E" w:rsidRPr="00827B3E" w:rsidRDefault="00827B3E" w:rsidP="0060252E">
      <w:pPr>
        <w:ind w:firstLine="426"/>
        <w:jc w:val="both"/>
        <w:rPr>
          <w:rFonts w:asciiTheme="majorHAnsi" w:hAnsiTheme="majorHAnsi"/>
          <w:b/>
          <w:sz w:val="24"/>
          <w:szCs w:val="24"/>
        </w:rPr>
      </w:pPr>
      <w:r w:rsidRPr="00827B3E">
        <w:rPr>
          <w:rFonts w:asciiTheme="majorHAnsi" w:hAnsiTheme="majorHAnsi"/>
          <w:b/>
          <w:sz w:val="24"/>
          <w:szCs w:val="24"/>
        </w:rPr>
        <w:t>5.</w:t>
      </w:r>
      <w:r w:rsidRPr="00827B3E">
        <w:rPr>
          <w:b/>
        </w:rPr>
        <w:t xml:space="preserve"> </w:t>
      </w:r>
      <w:r w:rsidRPr="00827B3E">
        <w:rPr>
          <w:rFonts w:asciiTheme="majorHAnsi" w:hAnsiTheme="majorHAnsi"/>
          <w:b/>
          <w:sz w:val="24"/>
          <w:szCs w:val="24"/>
        </w:rPr>
        <w:t>Ustala się dostępność komunikacyjną terenu od dróg wewnętrznych gruntowych,</w:t>
      </w:r>
      <w:r w:rsidR="006B73D2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Pr="00827B3E">
        <w:rPr>
          <w:rFonts w:asciiTheme="majorHAnsi" w:hAnsiTheme="majorHAnsi"/>
          <w:b/>
          <w:sz w:val="24"/>
          <w:szCs w:val="24"/>
        </w:rPr>
        <w:t xml:space="preserve">położonych poza obszarem planu.  </w:t>
      </w:r>
    </w:p>
    <w:p w:rsidR="000C401D" w:rsidRPr="00E8493D" w:rsidRDefault="00181D22" w:rsidP="00E8493D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:rsidR="0060252E" w:rsidRPr="0060252E" w:rsidRDefault="001C6B15" w:rsidP="001C6B1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Rozdział 3</w:t>
      </w:r>
      <w:r w:rsidR="0060252E" w:rsidRPr="0060252E">
        <w:rPr>
          <w:rFonts w:asciiTheme="majorHAnsi" w:hAnsiTheme="majorHAnsi"/>
          <w:b/>
          <w:sz w:val="24"/>
          <w:szCs w:val="24"/>
        </w:rPr>
        <w:t>.</w:t>
      </w:r>
    </w:p>
    <w:p w:rsidR="0060252E" w:rsidRDefault="00A22E77" w:rsidP="001C6B15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Ustalenia</w:t>
      </w:r>
      <w:r w:rsidR="0060252E" w:rsidRPr="0060252E">
        <w:rPr>
          <w:rFonts w:asciiTheme="majorHAnsi" w:hAnsiTheme="majorHAnsi"/>
          <w:b/>
          <w:sz w:val="24"/>
          <w:szCs w:val="24"/>
        </w:rPr>
        <w:t xml:space="preserve"> </w:t>
      </w:r>
      <w:r w:rsidR="001C6B15">
        <w:rPr>
          <w:rFonts w:asciiTheme="majorHAnsi" w:hAnsiTheme="majorHAnsi"/>
          <w:b/>
          <w:sz w:val="24"/>
          <w:szCs w:val="24"/>
        </w:rPr>
        <w:t>końcowe</w:t>
      </w:r>
    </w:p>
    <w:p w:rsidR="001C6B15" w:rsidRDefault="001C6B15" w:rsidP="001C6B15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60252E">
        <w:rPr>
          <w:rFonts w:asciiTheme="majorHAnsi" w:hAnsiTheme="majorHAnsi"/>
          <w:b/>
          <w:sz w:val="24"/>
          <w:szCs w:val="24"/>
        </w:rPr>
        <w:t>§</w:t>
      </w:r>
      <w:r w:rsidR="00827B3E">
        <w:rPr>
          <w:rFonts w:asciiTheme="majorHAnsi" w:hAnsiTheme="majorHAnsi"/>
          <w:b/>
          <w:sz w:val="24"/>
          <w:szCs w:val="24"/>
        </w:rPr>
        <w:t xml:space="preserve"> 8</w:t>
      </w:r>
      <w:r w:rsidRPr="0060252E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C6B15">
        <w:rPr>
          <w:rFonts w:asciiTheme="majorHAnsi" w:hAnsiTheme="majorHAnsi"/>
          <w:sz w:val="24"/>
          <w:szCs w:val="24"/>
        </w:rPr>
        <w:t xml:space="preserve">Wykonanie uchwały powierza </w:t>
      </w:r>
      <w:r>
        <w:rPr>
          <w:rFonts w:asciiTheme="majorHAnsi" w:hAnsiTheme="majorHAnsi"/>
          <w:sz w:val="24"/>
          <w:szCs w:val="24"/>
        </w:rPr>
        <w:t>się Wójtowi Gminy Cisna.</w:t>
      </w:r>
    </w:p>
    <w:p w:rsidR="001C6B15" w:rsidRDefault="001C6B15" w:rsidP="001C6B15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60252E">
        <w:rPr>
          <w:rFonts w:asciiTheme="majorHAnsi" w:hAnsiTheme="majorHAnsi"/>
          <w:b/>
          <w:sz w:val="24"/>
          <w:szCs w:val="24"/>
        </w:rPr>
        <w:t>§</w:t>
      </w:r>
      <w:r w:rsidR="00181D22">
        <w:rPr>
          <w:rFonts w:asciiTheme="majorHAnsi" w:hAnsiTheme="majorHAnsi"/>
          <w:b/>
          <w:sz w:val="24"/>
          <w:szCs w:val="24"/>
        </w:rPr>
        <w:t xml:space="preserve"> 9.1</w:t>
      </w:r>
      <w:r w:rsidRPr="0060252E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1C6B15">
        <w:rPr>
          <w:rFonts w:asciiTheme="majorHAnsi" w:hAnsiTheme="majorHAnsi"/>
          <w:sz w:val="24"/>
          <w:szCs w:val="24"/>
        </w:rPr>
        <w:t>Uchwała podlega ogłoszeniu w Dzienniku Urzędowym Województwa</w:t>
      </w:r>
      <w:r>
        <w:rPr>
          <w:rFonts w:asciiTheme="majorHAnsi" w:hAnsiTheme="majorHAnsi"/>
          <w:sz w:val="24"/>
          <w:szCs w:val="24"/>
        </w:rPr>
        <w:t xml:space="preserve"> Podkarpackiego i wchodzi w życie po upływie 14 dni od dnia jej ogłoszenia.</w:t>
      </w:r>
      <w:r w:rsidRPr="001C6B15">
        <w:rPr>
          <w:rFonts w:asciiTheme="majorHAnsi" w:hAnsiTheme="majorHAnsi"/>
          <w:sz w:val="24"/>
          <w:szCs w:val="24"/>
        </w:rPr>
        <w:t xml:space="preserve"> </w:t>
      </w:r>
    </w:p>
    <w:p w:rsidR="00E8493D" w:rsidRDefault="00E8493D" w:rsidP="001C6B15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E8493D">
        <w:rPr>
          <w:rFonts w:asciiTheme="majorHAnsi" w:hAnsiTheme="majorHAnsi"/>
          <w:b/>
          <w:sz w:val="24"/>
          <w:szCs w:val="24"/>
        </w:rPr>
        <w:t>2.</w:t>
      </w:r>
      <w:r w:rsidRPr="00E8493D">
        <w:rPr>
          <w:rFonts w:asciiTheme="majorHAnsi" w:hAnsiTheme="majorHAnsi"/>
          <w:sz w:val="24"/>
          <w:szCs w:val="24"/>
        </w:rPr>
        <w:t xml:space="preserve"> Uchwał</w:t>
      </w:r>
      <w:r w:rsidR="00827B3E">
        <w:rPr>
          <w:rFonts w:asciiTheme="majorHAnsi" w:hAnsiTheme="majorHAnsi"/>
          <w:sz w:val="24"/>
          <w:szCs w:val="24"/>
        </w:rPr>
        <w:t>a, o której mowa w ust. 1, podle</w:t>
      </w:r>
      <w:r w:rsidRPr="00E8493D">
        <w:rPr>
          <w:rFonts w:asciiTheme="majorHAnsi" w:hAnsiTheme="majorHAnsi"/>
          <w:sz w:val="24"/>
          <w:szCs w:val="24"/>
        </w:rPr>
        <w:t xml:space="preserve">ga publikacji na stronie internetowej gminy  </w:t>
      </w:r>
      <w:r w:rsidR="00827B3E">
        <w:rPr>
          <w:rFonts w:asciiTheme="majorHAnsi" w:hAnsiTheme="majorHAnsi"/>
          <w:sz w:val="24"/>
          <w:szCs w:val="24"/>
        </w:rPr>
        <w:t>Cisna.</w:t>
      </w:r>
    </w:p>
    <w:p w:rsidR="00181D22" w:rsidRDefault="00827B3E" w:rsidP="001C6B15">
      <w:p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1C6B15" w:rsidRDefault="001C6B15" w:rsidP="001C6B15">
      <w:pPr>
        <w:tabs>
          <w:tab w:val="left" w:pos="709"/>
        </w:tabs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1C6B15" w:rsidRPr="002A1B24" w:rsidRDefault="001C6B15" w:rsidP="002A1B24">
      <w:pPr>
        <w:pStyle w:val="Bezodstpw"/>
        <w:rPr>
          <w:rFonts w:asciiTheme="majorHAnsi" w:hAnsiTheme="majorHAns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B24">
        <w:rPr>
          <w:rFonts w:asciiTheme="majorHAnsi" w:hAnsiTheme="majorHAnsi"/>
          <w:b/>
          <w:sz w:val="24"/>
          <w:szCs w:val="24"/>
        </w:rPr>
        <w:t xml:space="preserve">Przewodniczący Rady </w:t>
      </w:r>
    </w:p>
    <w:p w:rsidR="0060252E" w:rsidRPr="002A1B24" w:rsidRDefault="001C6B15" w:rsidP="002A1B24">
      <w:pPr>
        <w:pStyle w:val="Bezodstpw"/>
        <w:rPr>
          <w:rFonts w:asciiTheme="majorHAnsi" w:hAnsiTheme="majorHAnsi"/>
          <w:b/>
          <w:sz w:val="24"/>
          <w:szCs w:val="24"/>
        </w:rPr>
      </w:pPr>
      <w:r w:rsidRPr="002A1B24">
        <w:rPr>
          <w:rFonts w:asciiTheme="majorHAnsi" w:hAnsiTheme="majorHAnsi"/>
          <w:b/>
          <w:sz w:val="24"/>
          <w:szCs w:val="24"/>
        </w:rPr>
        <w:tab/>
      </w:r>
      <w:r w:rsidRPr="002A1B24">
        <w:rPr>
          <w:rFonts w:asciiTheme="majorHAnsi" w:hAnsiTheme="majorHAnsi"/>
          <w:b/>
          <w:sz w:val="24"/>
          <w:szCs w:val="24"/>
        </w:rPr>
        <w:tab/>
      </w:r>
      <w:r w:rsidRPr="002A1B24">
        <w:rPr>
          <w:rFonts w:asciiTheme="majorHAnsi" w:hAnsiTheme="majorHAnsi"/>
          <w:b/>
          <w:sz w:val="24"/>
          <w:szCs w:val="24"/>
        </w:rPr>
        <w:tab/>
      </w:r>
      <w:r w:rsidRPr="002A1B24">
        <w:rPr>
          <w:rFonts w:asciiTheme="majorHAnsi" w:hAnsiTheme="majorHAnsi"/>
          <w:b/>
          <w:sz w:val="24"/>
          <w:szCs w:val="24"/>
        </w:rPr>
        <w:tab/>
      </w:r>
      <w:r w:rsidRPr="002A1B24">
        <w:rPr>
          <w:rFonts w:asciiTheme="majorHAnsi" w:hAnsiTheme="majorHAnsi"/>
          <w:b/>
          <w:sz w:val="24"/>
          <w:szCs w:val="24"/>
        </w:rPr>
        <w:tab/>
      </w:r>
      <w:r w:rsidRPr="002A1B24">
        <w:rPr>
          <w:rFonts w:asciiTheme="majorHAnsi" w:hAnsiTheme="majorHAnsi"/>
          <w:b/>
          <w:sz w:val="24"/>
          <w:szCs w:val="24"/>
        </w:rPr>
        <w:tab/>
      </w:r>
      <w:r w:rsidRPr="002A1B24">
        <w:rPr>
          <w:rFonts w:asciiTheme="majorHAnsi" w:hAnsiTheme="majorHAnsi"/>
          <w:b/>
          <w:sz w:val="24"/>
          <w:szCs w:val="24"/>
        </w:rPr>
        <w:tab/>
      </w:r>
      <w:r w:rsidRPr="002A1B24">
        <w:rPr>
          <w:rFonts w:asciiTheme="majorHAnsi" w:hAnsiTheme="majorHAnsi"/>
          <w:b/>
          <w:sz w:val="24"/>
          <w:szCs w:val="24"/>
        </w:rPr>
        <w:tab/>
        <w:t>Gminy Cisna</w:t>
      </w:r>
    </w:p>
    <w:sectPr w:rsidR="0060252E" w:rsidRPr="002A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B3"/>
    <w:multiLevelType w:val="hybridMultilevel"/>
    <w:tmpl w:val="6030833A"/>
    <w:lvl w:ilvl="0" w:tplc="DB5E40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5"/>
    <w:rsid w:val="00017FA8"/>
    <w:rsid w:val="00040A69"/>
    <w:rsid w:val="000C401D"/>
    <w:rsid w:val="00181D22"/>
    <w:rsid w:val="001C6B15"/>
    <w:rsid w:val="002A1B24"/>
    <w:rsid w:val="002B6B42"/>
    <w:rsid w:val="00340A2F"/>
    <w:rsid w:val="00543E10"/>
    <w:rsid w:val="0060252E"/>
    <w:rsid w:val="006B73D2"/>
    <w:rsid w:val="007017D1"/>
    <w:rsid w:val="007C33ED"/>
    <w:rsid w:val="00827B3E"/>
    <w:rsid w:val="008638B8"/>
    <w:rsid w:val="0089650C"/>
    <w:rsid w:val="008D068F"/>
    <w:rsid w:val="009C2DD1"/>
    <w:rsid w:val="00A22E77"/>
    <w:rsid w:val="00A352AF"/>
    <w:rsid w:val="00A54B58"/>
    <w:rsid w:val="00AD2F73"/>
    <w:rsid w:val="00B14E64"/>
    <w:rsid w:val="00B7187E"/>
    <w:rsid w:val="00B87C95"/>
    <w:rsid w:val="00C91FB3"/>
    <w:rsid w:val="00D63AA6"/>
    <w:rsid w:val="00E318B3"/>
    <w:rsid w:val="00E8493D"/>
    <w:rsid w:val="00F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AA6"/>
    <w:pPr>
      <w:ind w:left="720"/>
      <w:contextualSpacing/>
    </w:pPr>
  </w:style>
  <w:style w:type="paragraph" w:styleId="Bezodstpw">
    <w:name w:val="No Spacing"/>
    <w:uiPriority w:val="1"/>
    <w:qFormat/>
    <w:rsid w:val="002A1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AA6"/>
    <w:pPr>
      <w:ind w:left="720"/>
      <w:contextualSpacing/>
    </w:pPr>
  </w:style>
  <w:style w:type="paragraph" w:styleId="Bezodstpw">
    <w:name w:val="No Spacing"/>
    <w:uiPriority w:val="1"/>
    <w:qFormat/>
    <w:rsid w:val="002A1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Puchyr Architects</dc:creator>
  <cp:lastModifiedBy>Małgorzata Puchyr</cp:lastModifiedBy>
  <cp:revision>2</cp:revision>
  <dcterms:created xsi:type="dcterms:W3CDTF">2016-09-05T07:16:00Z</dcterms:created>
  <dcterms:modified xsi:type="dcterms:W3CDTF">2016-09-05T07:16:00Z</dcterms:modified>
</cp:coreProperties>
</file>